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7956F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9F080C"/>
          <w:sz w:val="30"/>
          <w:szCs w:val="30"/>
        </w:rPr>
      </w:pPr>
      <w:r>
        <w:rPr>
          <w:i w:val="0"/>
          <w:iCs w:val="0"/>
          <w:caps w:val="0"/>
          <w:color w:val="9F080C"/>
          <w:spacing w:val="0"/>
          <w:sz w:val="30"/>
          <w:szCs w:val="30"/>
          <w:shd w:val="clear" w:fill="FFFFFF"/>
        </w:rPr>
        <w:t>中华人民共和国教师法</w:t>
      </w:r>
    </w:p>
    <w:p w14:paraId="718CD7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rFonts w:hint="default" w:ascii="Arial" w:hAnsi="Arial" w:eastAsia="Arial" w:cs="Arial"/>
          <w:b/>
          <w:bCs/>
          <w:i w:val="0"/>
          <w:iCs w:val="0"/>
          <w:caps w:val="0"/>
          <w:color w:val="666666"/>
          <w:spacing w:val="0"/>
          <w:sz w:val="21"/>
          <w:szCs w:val="21"/>
          <w:shd w:val="clear" w:fill="FFFFFF"/>
        </w:rPr>
        <w:t>中华人民共和国主席令第１５号</w:t>
      </w:r>
    </w:p>
    <w:p w14:paraId="146E8D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rFonts w:hint="default" w:ascii="Arial" w:hAnsi="Arial" w:eastAsia="Arial" w:cs="Arial"/>
          <w:b/>
          <w:bCs/>
          <w:i w:val="0"/>
          <w:iCs w:val="0"/>
          <w:caps w:val="0"/>
          <w:color w:val="666666"/>
          <w:spacing w:val="0"/>
          <w:sz w:val="21"/>
          <w:szCs w:val="21"/>
          <w:shd w:val="clear" w:fill="FFFFFF"/>
        </w:rPr>
        <w:t>（１９９３年１０月３１日第八届全国人民代表大会常务委员会第四次会议通过）</w:t>
      </w:r>
    </w:p>
    <w:p w14:paraId="6E4B74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sz w:val="21"/>
          <w:szCs w:val="21"/>
        </w:rPr>
        <w:pict>
          <v:rect id="_x0000_i1025" o:spt="1" style="height:1.5pt;width:432pt;" fillcolor="#A0A0A0" filled="t" stroked="f" coordsize="21600,21600" o:hr="t" o:hrstd="t" o:hralign="center">
            <v:path/>
            <v:fill on="t" focussize="0,0"/>
            <v:stroke on="f"/>
            <v:imagedata o:title=""/>
            <o:lock v:ext="edit"/>
            <w10:wrap type="none"/>
            <w10:anchorlock/>
          </v:rect>
        </w:pict>
      </w:r>
    </w:p>
    <w:tbl>
      <w:tblPr>
        <w:tblStyle w:val="4"/>
        <w:tblW w:w="83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63"/>
        <w:gridCol w:w="7697"/>
      </w:tblGrid>
      <w:tr w14:paraId="70854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9630" w:type="dxa"/>
            <w:gridSpan w:val="2"/>
            <w:shd w:val="clear" w:color="auto" w:fill="auto"/>
            <w:vAlign w:val="center"/>
          </w:tcPr>
          <w:p w14:paraId="5F1107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目录</w:t>
            </w:r>
          </w:p>
        </w:tc>
      </w:tr>
      <w:tr w14:paraId="39F6F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9630" w:type="dxa"/>
            <w:gridSpan w:val="2"/>
            <w:shd w:val="clear" w:color="auto" w:fill="auto"/>
            <w:vAlign w:val="center"/>
          </w:tcPr>
          <w:tbl>
            <w:tblPr>
              <w:tblStyle w:val="4"/>
              <w:tblW w:w="9660"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485"/>
              <w:gridCol w:w="2230"/>
              <w:gridCol w:w="2230"/>
              <w:gridCol w:w="2214"/>
              <w:gridCol w:w="1501"/>
            </w:tblGrid>
            <w:tr w14:paraId="73EBF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1395" w:type="dxa"/>
                  <w:shd w:val="clear" w:color="auto" w:fill="auto"/>
                  <w:vAlign w:val="center"/>
                </w:tcPr>
                <w:p w14:paraId="3D7C99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rPr>
                      <w:sz w:val="21"/>
                      <w:szCs w:val="21"/>
                    </w:rPr>
                  </w:pPr>
                  <w:r>
                    <w:rPr>
                      <w:color w:val="666666"/>
                      <w:sz w:val="21"/>
                      <w:szCs w:val="21"/>
                      <w:u w:val="none"/>
                    </w:rPr>
                    <w:fldChar w:fldCharType="begin"/>
                  </w:r>
                  <w:r>
                    <w:rPr>
                      <w:color w:val="666666"/>
                      <w:sz w:val="21"/>
                      <w:szCs w:val="21"/>
                      <w:u w:val="none"/>
                    </w:rPr>
                    <w:instrText xml:space="preserve"> HYPERLINK "http://web.hueb.edu.cn/rsc/jiaoshi1.htm" \l "01" </w:instrText>
                  </w:r>
                  <w:r>
                    <w:rPr>
                      <w:color w:val="666666"/>
                      <w:sz w:val="21"/>
                      <w:szCs w:val="21"/>
                      <w:u w:val="none"/>
                    </w:rPr>
                    <w:fldChar w:fldCharType="separate"/>
                  </w:r>
                  <w:r>
                    <w:rPr>
                      <w:rStyle w:val="7"/>
                      <w:color w:val="666666"/>
                      <w:sz w:val="21"/>
                      <w:szCs w:val="21"/>
                      <w:u w:val="none"/>
                    </w:rPr>
                    <w:t>第一章总则</w:t>
                  </w:r>
                  <w:r>
                    <w:rPr>
                      <w:color w:val="666666"/>
                      <w:sz w:val="21"/>
                      <w:szCs w:val="21"/>
                      <w:u w:val="none"/>
                    </w:rPr>
                    <w:fldChar w:fldCharType="end"/>
                  </w:r>
                </w:p>
              </w:tc>
              <w:tc>
                <w:tcPr>
                  <w:tcW w:w="2130" w:type="dxa"/>
                  <w:shd w:val="clear" w:color="auto" w:fill="auto"/>
                  <w:vAlign w:val="center"/>
                </w:tcPr>
                <w:p w14:paraId="698351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rPr>
                      <w:sz w:val="21"/>
                      <w:szCs w:val="21"/>
                    </w:rPr>
                  </w:pPr>
                  <w:r>
                    <w:rPr>
                      <w:color w:val="666666"/>
                      <w:sz w:val="21"/>
                      <w:szCs w:val="21"/>
                      <w:u w:val="none"/>
                    </w:rPr>
                    <w:fldChar w:fldCharType="begin"/>
                  </w:r>
                  <w:r>
                    <w:rPr>
                      <w:color w:val="666666"/>
                      <w:sz w:val="21"/>
                      <w:szCs w:val="21"/>
                      <w:u w:val="none"/>
                    </w:rPr>
                    <w:instrText xml:space="preserve"> HYPERLINK "http://web.hueb.edu.cn/rsc/jiaoshi1.htm" \l "02" </w:instrText>
                  </w:r>
                  <w:r>
                    <w:rPr>
                      <w:color w:val="666666"/>
                      <w:sz w:val="21"/>
                      <w:szCs w:val="21"/>
                      <w:u w:val="none"/>
                    </w:rPr>
                    <w:fldChar w:fldCharType="separate"/>
                  </w:r>
                  <w:r>
                    <w:rPr>
                      <w:rStyle w:val="7"/>
                      <w:color w:val="666666"/>
                      <w:sz w:val="21"/>
                      <w:szCs w:val="21"/>
                      <w:u w:val="none"/>
                    </w:rPr>
                    <w:t>第二章权利和义务</w:t>
                  </w:r>
                  <w:r>
                    <w:rPr>
                      <w:color w:val="666666"/>
                      <w:sz w:val="21"/>
                      <w:szCs w:val="21"/>
                      <w:u w:val="none"/>
                    </w:rPr>
                    <w:fldChar w:fldCharType="end"/>
                  </w:r>
                </w:p>
              </w:tc>
              <w:tc>
                <w:tcPr>
                  <w:tcW w:w="2130" w:type="dxa"/>
                  <w:shd w:val="clear" w:color="auto" w:fill="auto"/>
                  <w:vAlign w:val="center"/>
                </w:tcPr>
                <w:p w14:paraId="56651D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rPr>
                      <w:sz w:val="21"/>
                      <w:szCs w:val="21"/>
                    </w:rPr>
                  </w:pPr>
                  <w:r>
                    <w:rPr>
                      <w:color w:val="666666"/>
                      <w:sz w:val="21"/>
                      <w:szCs w:val="21"/>
                      <w:u w:val="none"/>
                    </w:rPr>
                    <w:fldChar w:fldCharType="begin"/>
                  </w:r>
                  <w:r>
                    <w:rPr>
                      <w:color w:val="666666"/>
                      <w:sz w:val="21"/>
                      <w:szCs w:val="21"/>
                      <w:u w:val="none"/>
                    </w:rPr>
                    <w:instrText xml:space="preserve"> HYPERLINK "http://web.hueb.edu.cn/rsc/jiaoshi1.htm" \l "03" </w:instrText>
                  </w:r>
                  <w:r>
                    <w:rPr>
                      <w:color w:val="666666"/>
                      <w:sz w:val="21"/>
                      <w:szCs w:val="21"/>
                      <w:u w:val="none"/>
                    </w:rPr>
                    <w:fldChar w:fldCharType="separate"/>
                  </w:r>
                  <w:r>
                    <w:rPr>
                      <w:rStyle w:val="7"/>
                      <w:color w:val="666666"/>
                      <w:sz w:val="21"/>
                      <w:szCs w:val="21"/>
                      <w:u w:val="none"/>
                    </w:rPr>
                    <w:t>第三章资格和任用</w:t>
                  </w:r>
                  <w:r>
                    <w:rPr>
                      <w:color w:val="666666"/>
                      <w:sz w:val="21"/>
                      <w:szCs w:val="21"/>
                      <w:u w:val="none"/>
                    </w:rPr>
                    <w:fldChar w:fldCharType="end"/>
                  </w:r>
                </w:p>
              </w:tc>
              <w:tc>
                <w:tcPr>
                  <w:tcW w:w="2115" w:type="dxa"/>
                  <w:shd w:val="clear" w:color="auto" w:fill="auto"/>
                  <w:vAlign w:val="center"/>
                </w:tcPr>
                <w:p w14:paraId="2A8D15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rPr>
                      <w:sz w:val="21"/>
                      <w:szCs w:val="21"/>
                    </w:rPr>
                  </w:pPr>
                  <w:r>
                    <w:rPr>
                      <w:color w:val="666666"/>
                      <w:sz w:val="21"/>
                      <w:szCs w:val="21"/>
                      <w:u w:val="none"/>
                    </w:rPr>
                    <w:fldChar w:fldCharType="begin"/>
                  </w:r>
                  <w:r>
                    <w:rPr>
                      <w:color w:val="666666"/>
                      <w:sz w:val="21"/>
                      <w:szCs w:val="21"/>
                      <w:u w:val="none"/>
                    </w:rPr>
                    <w:instrText xml:space="preserve"> HYPERLINK "http://web.hueb.edu.cn/rsc/jiaoshi1.htm" \l "04" </w:instrText>
                  </w:r>
                  <w:r>
                    <w:rPr>
                      <w:color w:val="666666"/>
                      <w:sz w:val="21"/>
                      <w:szCs w:val="21"/>
                      <w:u w:val="none"/>
                    </w:rPr>
                    <w:fldChar w:fldCharType="separate"/>
                  </w:r>
                  <w:r>
                    <w:rPr>
                      <w:rStyle w:val="7"/>
                      <w:color w:val="666666"/>
                      <w:sz w:val="21"/>
                      <w:szCs w:val="21"/>
                      <w:u w:val="none"/>
                    </w:rPr>
                    <w:t>第四章培养和培训</w:t>
                  </w:r>
                  <w:r>
                    <w:rPr>
                      <w:color w:val="666666"/>
                      <w:sz w:val="21"/>
                      <w:szCs w:val="21"/>
                      <w:u w:val="none"/>
                    </w:rPr>
                    <w:fldChar w:fldCharType="end"/>
                  </w:r>
                </w:p>
              </w:tc>
              <w:tc>
                <w:tcPr>
                  <w:tcW w:w="1410" w:type="dxa"/>
                  <w:shd w:val="clear" w:color="auto" w:fill="auto"/>
                  <w:vAlign w:val="center"/>
                </w:tcPr>
                <w:p w14:paraId="6F9ED9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rPr>
                      <w:sz w:val="21"/>
                      <w:szCs w:val="21"/>
                    </w:rPr>
                  </w:pPr>
                  <w:r>
                    <w:rPr>
                      <w:color w:val="666666"/>
                      <w:sz w:val="21"/>
                      <w:szCs w:val="21"/>
                      <w:u w:val="none"/>
                    </w:rPr>
                    <w:fldChar w:fldCharType="begin"/>
                  </w:r>
                  <w:r>
                    <w:rPr>
                      <w:color w:val="666666"/>
                      <w:sz w:val="21"/>
                      <w:szCs w:val="21"/>
                      <w:u w:val="none"/>
                    </w:rPr>
                    <w:instrText xml:space="preserve"> HYPERLINK "http://web.hueb.edu.cn/rsc/jiaoshi1.htm" \l "05" </w:instrText>
                  </w:r>
                  <w:r>
                    <w:rPr>
                      <w:color w:val="666666"/>
                      <w:sz w:val="21"/>
                      <w:szCs w:val="21"/>
                      <w:u w:val="none"/>
                    </w:rPr>
                    <w:fldChar w:fldCharType="separate"/>
                  </w:r>
                  <w:r>
                    <w:rPr>
                      <w:rStyle w:val="7"/>
                      <w:color w:val="666666"/>
                      <w:sz w:val="21"/>
                      <w:szCs w:val="21"/>
                      <w:u w:val="none"/>
                    </w:rPr>
                    <w:t>第五章考核</w:t>
                  </w:r>
                  <w:r>
                    <w:rPr>
                      <w:color w:val="666666"/>
                      <w:sz w:val="21"/>
                      <w:szCs w:val="21"/>
                      <w:u w:val="none"/>
                    </w:rPr>
                    <w:fldChar w:fldCharType="end"/>
                  </w:r>
                </w:p>
              </w:tc>
            </w:tr>
            <w:tr w14:paraId="47322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1395" w:type="dxa"/>
                  <w:shd w:val="clear" w:color="auto" w:fill="auto"/>
                  <w:vAlign w:val="center"/>
                </w:tcPr>
                <w:p w14:paraId="4C489A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rPr>
                      <w:sz w:val="21"/>
                      <w:szCs w:val="21"/>
                    </w:rPr>
                  </w:pPr>
                  <w:r>
                    <w:rPr>
                      <w:color w:val="666666"/>
                      <w:sz w:val="21"/>
                      <w:szCs w:val="21"/>
                      <w:u w:val="none"/>
                    </w:rPr>
                    <w:fldChar w:fldCharType="begin"/>
                  </w:r>
                  <w:r>
                    <w:rPr>
                      <w:color w:val="666666"/>
                      <w:sz w:val="21"/>
                      <w:szCs w:val="21"/>
                      <w:u w:val="none"/>
                    </w:rPr>
                    <w:instrText xml:space="preserve"> HYPERLINK "http://web.hueb.edu.cn/rsc/jiaoshi1.htm" \l "06" </w:instrText>
                  </w:r>
                  <w:r>
                    <w:rPr>
                      <w:color w:val="666666"/>
                      <w:sz w:val="21"/>
                      <w:szCs w:val="21"/>
                      <w:u w:val="none"/>
                    </w:rPr>
                    <w:fldChar w:fldCharType="separate"/>
                  </w:r>
                  <w:r>
                    <w:rPr>
                      <w:rStyle w:val="7"/>
                      <w:color w:val="666666"/>
                      <w:sz w:val="21"/>
                      <w:szCs w:val="21"/>
                      <w:u w:val="none"/>
                    </w:rPr>
                    <w:t>第六章待遇</w:t>
                  </w:r>
                  <w:r>
                    <w:rPr>
                      <w:color w:val="666666"/>
                      <w:sz w:val="21"/>
                      <w:szCs w:val="21"/>
                      <w:u w:val="none"/>
                    </w:rPr>
                    <w:fldChar w:fldCharType="end"/>
                  </w:r>
                </w:p>
              </w:tc>
              <w:tc>
                <w:tcPr>
                  <w:tcW w:w="2130" w:type="dxa"/>
                  <w:shd w:val="clear" w:color="auto" w:fill="auto"/>
                  <w:vAlign w:val="center"/>
                </w:tcPr>
                <w:p w14:paraId="211101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rPr>
                      <w:sz w:val="21"/>
                      <w:szCs w:val="21"/>
                    </w:rPr>
                  </w:pPr>
                  <w:r>
                    <w:rPr>
                      <w:color w:val="666666"/>
                      <w:sz w:val="21"/>
                      <w:szCs w:val="21"/>
                      <w:u w:val="none"/>
                    </w:rPr>
                    <w:fldChar w:fldCharType="begin"/>
                  </w:r>
                  <w:r>
                    <w:rPr>
                      <w:color w:val="666666"/>
                      <w:sz w:val="21"/>
                      <w:szCs w:val="21"/>
                      <w:u w:val="none"/>
                    </w:rPr>
                    <w:instrText xml:space="preserve"> HYPERLINK "http://web.hueb.edu.cn/rsc/jiaoshi1.htm" \l "07" </w:instrText>
                  </w:r>
                  <w:r>
                    <w:rPr>
                      <w:color w:val="666666"/>
                      <w:sz w:val="21"/>
                      <w:szCs w:val="21"/>
                      <w:u w:val="none"/>
                    </w:rPr>
                    <w:fldChar w:fldCharType="separate"/>
                  </w:r>
                  <w:r>
                    <w:rPr>
                      <w:rStyle w:val="7"/>
                      <w:color w:val="666666"/>
                      <w:sz w:val="21"/>
                      <w:szCs w:val="21"/>
                      <w:u w:val="none"/>
                    </w:rPr>
                    <w:t>第七章奖励</w:t>
                  </w:r>
                  <w:r>
                    <w:rPr>
                      <w:color w:val="666666"/>
                      <w:sz w:val="21"/>
                      <w:szCs w:val="21"/>
                      <w:u w:val="none"/>
                    </w:rPr>
                    <w:fldChar w:fldCharType="end"/>
                  </w:r>
                </w:p>
              </w:tc>
              <w:tc>
                <w:tcPr>
                  <w:tcW w:w="2130" w:type="dxa"/>
                  <w:shd w:val="clear" w:color="auto" w:fill="auto"/>
                  <w:vAlign w:val="center"/>
                </w:tcPr>
                <w:p w14:paraId="51E725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rPr>
                      <w:sz w:val="21"/>
                      <w:szCs w:val="21"/>
                    </w:rPr>
                  </w:pPr>
                  <w:r>
                    <w:rPr>
                      <w:color w:val="666666"/>
                      <w:sz w:val="21"/>
                      <w:szCs w:val="21"/>
                      <w:u w:val="none"/>
                    </w:rPr>
                    <w:fldChar w:fldCharType="begin"/>
                  </w:r>
                  <w:r>
                    <w:rPr>
                      <w:color w:val="666666"/>
                      <w:sz w:val="21"/>
                      <w:szCs w:val="21"/>
                      <w:u w:val="none"/>
                    </w:rPr>
                    <w:instrText xml:space="preserve"> HYPERLINK "http://web.hueb.edu.cn/rsc/jiaoshi1.htm" \l "08" </w:instrText>
                  </w:r>
                  <w:r>
                    <w:rPr>
                      <w:color w:val="666666"/>
                      <w:sz w:val="21"/>
                      <w:szCs w:val="21"/>
                      <w:u w:val="none"/>
                    </w:rPr>
                    <w:fldChar w:fldCharType="separate"/>
                  </w:r>
                  <w:r>
                    <w:rPr>
                      <w:rStyle w:val="7"/>
                      <w:color w:val="666666"/>
                      <w:sz w:val="21"/>
                      <w:szCs w:val="21"/>
                      <w:u w:val="none"/>
                    </w:rPr>
                    <w:t>第八章法律则任</w:t>
                  </w:r>
                  <w:r>
                    <w:rPr>
                      <w:color w:val="666666"/>
                      <w:sz w:val="21"/>
                      <w:szCs w:val="21"/>
                      <w:u w:val="none"/>
                    </w:rPr>
                    <w:fldChar w:fldCharType="end"/>
                  </w:r>
                </w:p>
              </w:tc>
              <w:tc>
                <w:tcPr>
                  <w:tcW w:w="2115" w:type="dxa"/>
                  <w:shd w:val="clear" w:color="auto" w:fill="auto"/>
                  <w:vAlign w:val="center"/>
                </w:tcPr>
                <w:p w14:paraId="6C22EB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rPr>
                      <w:sz w:val="21"/>
                      <w:szCs w:val="21"/>
                    </w:rPr>
                  </w:pPr>
                  <w:bookmarkStart w:id="0" w:name="_GoBack"/>
                  <w:bookmarkEnd w:id="0"/>
                  <w:r>
                    <w:rPr>
                      <w:color w:val="666666"/>
                      <w:sz w:val="21"/>
                      <w:szCs w:val="21"/>
                      <w:u w:val="none"/>
                    </w:rPr>
                    <w:fldChar w:fldCharType="begin"/>
                  </w:r>
                  <w:r>
                    <w:rPr>
                      <w:color w:val="666666"/>
                      <w:sz w:val="21"/>
                      <w:szCs w:val="21"/>
                      <w:u w:val="none"/>
                    </w:rPr>
                    <w:instrText xml:space="preserve"> HYPERLINK "http://web.hueb.edu.cn/rsc/jiaoshi1.htm" \l "09" </w:instrText>
                  </w:r>
                  <w:r>
                    <w:rPr>
                      <w:color w:val="666666"/>
                      <w:sz w:val="21"/>
                      <w:szCs w:val="21"/>
                      <w:u w:val="none"/>
                    </w:rPr>
                    <w:fldChar w:fldCharType="separate"/>
                  </w:r>
                  <w:r>
                    <w:rPr>
                      <w:rStyle w:val="7"/>
                      <w:color w:val="666666"/>
                      <w:sz w:val="21"/>
                      <w:szCs w:val="21"/>
                      <w:u w:val="none"/>
                    </w:rPr>
                    <w:t>第九章附则</w:t>
                  </w:r>
                  <w:r>
                    <w:rPr>
                      <w:color w:val="666666"/>
                      <w:sz w:val="21"/>
                      <w:szCs w:val="21"/>
                      <w:u w:val="none"/>
                    </w:rPr>
                    <w:fldChar w:fldCharType="end"/>
                  </w:r>
                </w:p>
              </w:tc>
              <w:tc>
                <w:tcPr>
                  <w:tcW w:w="1410" w:type="dxa"/>
                  <w:shd w:val="clear" w:color="auto" w:fill="auto"/>
                  <w:vAlign w:val="center"/>
                </w:tcPr>
                <w:p w14:paraId="4078C747">
                  <w:pPr>
                    <w:rPr>
                      <w:rFonts w:hint="eastAsia" w:ascii="宋体"/>
                      <w:sz w:val="24"/>
                      <w:szCs w:val="24"/>
                    </w:rPr>
                  </w:pPr>
                </w:p>
              </w:tc>
            </w:tr>
          </w:tbl>
          <w:p w14:paraId="0E1AFB31">
            <w:pPr>
              <w:spacing w:before="0" w:beforeAutospacing="0" w:after="0" w:afterAutospacing="0"/>
              <w:ind w:left="0" w:right="0"/>
            </w:pPr>
          </w:p>
        </w:tc>
      </w:tr>
      <w:tr w14:paraId="76F14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9630" w:type="dxa"/>
            <w:gridSpan w:val="2"/>
            <w:shd w:val="clear" w:color="auto" w:fill="auto"/>
            <w:vAlign w:val="center"/>
          </w:tcPr>
          <w:p w14:paraId="7A543D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b/>
                <w:bCs/>
                <w:sz w:val="21"/>
                <w:szCs w:val="21"/>
              </w:rPr>
              <w:t>第一章 总 则</w:t>
            </w:r>
          </w:p>
        </w:tc>
      </w:tr>
      <w:tr w14:paraId="47197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42F2DB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第一条</w:t>
            </w:r>
          </w:p>
        </w:tc>
        <w:tc>
          <w:tcPr>
            <w:tcW w:w="8280" w:type="dxa"/>
            <w:shd w:val="clear" w:color="auto" w:fill="auto"/>
            <w:vAlign w:val="center"/>
          </w:tcPr>
          <w:p w14:paraId="5663EB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为了保障教师的合法权益，建设具有良好思想品德修养和业务素质的教师队伍，促进社会主义教育事业的发展，制定本法。</w:t>
            </w:r>
          </w:p>
        </w:tc>
      </w:tr>
      <w:tr w14:paraId="6E6AA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2DDEAF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第二条</w:t>
            </w:r>
          </w:p>
        </w:tc>
        <w:tc>
          <w:tcPr>
            <w:tcW w:w="8280" w:type="dxa"/>
            <w:shd w:val="clear" w:color="auto" w:fill="auto"/>
            <w:vAlign w:val="center"/>
          </w:tcPr>
          <w:p w14:paraId="4188E5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本法适用于在各级各类学校和其他教育机构中专门从事教育教学工作的教师。</w:t>
            </w:r>
          </w:p>
        </w:tc>
      </w:tr>
      <w:tr w14:paraId="39810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19F45A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第三条</w:t>
            </w:r>
          </w:p>
        </w:tc>
        <w:tc>
          <w:tcPr>
            <w:tcW w:w="8280" w:type="dxa"/>
            <w:shd w:val="clear" w:color="auto" w:fill="auto"/>
            <w:vAlign w:val="center"/>
          </w:tcPr>
          <w:p w14:paraId="7334E2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教师是履行教育教学职责的专业人员，承担教书育人，培养社会主义事业建设者和接班人、提高民族素质的使命。教师应当忠诚于人民的教育事业。</w:t>
            </w:r>
          </w:p>
        </w:tc>
      </w:tr>
      <w:tr w14:paraId="10688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2CAAB0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第四条</w:t>
            </w:r>
          </w:p>
        </w:tc>
        <w:tc>
          <w:tcPr>
            <w:tcW w:w="8280" w:type="dxa"/>
            <w:shd w:val="clear" w:color="auto" w:fill="auto"/>
            <w:vAlign w:val="center"/>
          </w:tcPr>
          <w:p w14:paraId="23D312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各级人民政府应当采取措施，加强教师的思想政治教育和业务培训，改善教师的工作条件和生活条件，保障教师的合法权益，提高教师的社会地位。 全社会都应当尊重教师。</w:t>
            </w:r>
          </w:p>
        </w:tc>
      </w:tr>
      <w:tr w14:paraId="68EA6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vMerge w:val="restart"/>
            <w:shd w:val="clear" w:color="auto" w:fill="auto"/>
            <w:vAlign w:val="center"/>
          </w:tcPr>
          <w:p w14:paraId="205405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第五条</w:t>
            </w:r>
          </w:p>
        </w:tc>
        <w:tc>
          <w:tcPr>
            <w:tcW w:w="8280" w:type="dxa"/>
            <w:shd w:val="clear" w:color="auto" w:fill="auto"/>
            <w:vAlign w:val="center"/>
          </w:tcPr>
          <w:p w14:paraId="078F37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国务院教育行政部门主管全国的教师工作。</w:t>
            </w:r>
          </w:p>
        </w:tc>
      </w:tr>
      <w:tr w14:paraId="0ADC2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vMerge w:val="continue"/>
            <w:shd w:val="clear" w:color="auto" w:fill="auto"/>
            <w:vAlign w:val="center"/>
          </w:tcPr>
          <w:p w14:paraId="63AE4AF2">
            <w:pPr>
              <w:rPr>
                <w:rFonts w:hint="eastAsia" w:ascii="宋体"/>
                <w:sz w:val="24"/>
                <w:szCs w:val="24"/>
              </w:rPr>
            </w:pPr>
          </w:p>
        </w:tc>
        <w:tc>
          <w:tcPr>
            <w:tcW w:w="8280" w:type="dxa"/>
            <w:shd w:val="clear" w:color="auto" w:fill="auto"/>
            <w:vAlign w:val="center"/>
          </w:tcPr>
          <w:p w14:paraId="7042C0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国务院有关部门在各自职权范围内负责有关的教师工作。</w:t>
            </w:r>
          </w:p>
        </w:tc>
      </w:tr>
      <w:tr w14:paraId="1106C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vMerge w:val="continue"/>
            <w:shd w:val="clear" w:color="auto" w:fill="auto"/>
            <w:vAlign w:val="center"/>
          </w:tcPr>
          <w:p w14:paraId="7E7C58DA">
            <w:pPr>
              <w:rPr>
                <w:rFonts w:hint="eastAsia" w:ascii="宋体"/>
                <w:sz w:val="24"/>
                <w:szCs w:val="24"/>
              </w:rPr>
            </w:pPr>
          </w:p>
        </w:tc>
        <w:tc>
          <w:tcPr>
            <w:tcW w:w="8280" w:type="dxa"/>
            <w:shd w:val="clear" w:color="auto" w:fill="auto"/>
            <w:vAlign w:val="center"/>
          </w:tcPr>
          <w:p w14:paraId="7EA096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学校和其他教育机构根据国家规定，自主进行教师管理工作。</w:t>
            </w:r>
          </w:p>
        </w:tc>
      </w:tr>
      <w:tr w14:paraId="62328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13F9E5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第六条</w:t>
            </w:r>
          </w:p>
        </w:tc>
        <w:tc>
          <w:tcPr>
            <w:tcW w:w="8280" w:type="dxa"/>
            <w:shd w:val="clear" w:color="auto" w:fill="auto"/>
            <w:vAlign w:val="center"/>
          </w:tcPr>
          <w:p w14:paraId="45B8AF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每年九月十日为教师节。</w:t>
            </w:r>
          </w:p>
        </w:tc>
      </w:tr>
      <w:tr w14:paraId="470E1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9630" w:type="dxa"/>
            <w:gridSpan w:val="2"/>
            <w:shd w:val="clear" w:color="auto" w:fill="auto"/>
            <w:vAlign w:val="center"/>
          </w:tcPr>
          <w:p w14:paraId="7A1D0F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b/>
                <w:bCs/>
                <w:sz w:val="21"/>
                <w:szCs w:val="21"/>
              </w:rPr>
              <w:t>第二章 权利和义务</w:t>
            </w:r>
          </w:p>
        </w:tc>
      </w:tr>
      <w:tr w14:paraId="01963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1BE64C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第七条</w:t>
            </w:r>
          </w:p>
        </w:tc>
        <w:tc>
          <w:tcPr>
            <w:tcW w:w="8280" w:type="dxa"/>
            <w:shd w:val="clear" w:color="auto" w:fill="auto"/>
            <w:vAlign w:val="center"/>
          </w:tcPr>
          <w:p w14:paraId="304408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教师享有下列权利：</w:t>
            </w:r>
          </w:p>
        </w:tc>
      </w:tr>
      <w:tr w14:paraId="2C0E3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7BF16C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（一）</w:t>
            </w:r>
          </w:p>
        </w:tc>
        <w:tc>
          <w:tcPr>
            <w:tcW w:w="8280" w:type="dxa"/>
            <w:shd w:val="clear" w:color="auto" w:fill="auto"/>
            <w:vAlign w:val="center"/>
          </w:tcPr>
          <w:p w14:paraId="772A76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进行教育教学活动，开展教育教学改革和实验；</w:t>
            </w:r>
          </w:p>
        </w:tc>
      </w:tr>
      <w:tr w14:paraId="49654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31C065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（二）</w:t>
            </w:r>
          </w:p>
        </w:tc>
        <w:tc>
          <w:tcPr>
            <w:tcW w:w="8280" w:type="dxa"/>
            <w:shd w:val="clear" w:color="auto" w:fill="auto"/>
            <w:vAlign w:val="center"/>
          </w:tcPr>
          <w:p w14:paraId="779942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从事科学研究、学术交流，参加专业的学术团体，在学术活动中充分发表意见；</w:t>
            </w:r>
          </w:p>
        </w:tc>
      </w:tr>
      <w:tr w14:paraId="36613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449034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（三）</w:t>
            </w:r>
          </w:p>
        </w:tc>
        <w:tc>
          <w:tcPr>
            <w:tcW w:w="8280" w:type="dxa"/>
            <w:shd w:val="clear" w:color="auto" w:fill="auto"/>
            <w:vAlign w:val="center"/>
          </w:tcPr>
          <w:p w14:paraId="254239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指导学生的学习和发展，评定学生的品行和学业成绩；</w:t>
            </w:r>
          </w:p>
        </w:tc>
      </w:tr>
      <w:tr w14:paraId="18521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12C459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（四）</w:t>
            </w:r>
          </w:p>
        </w:tc>
        <w:tc>
          <w:tcPr>
            <w:tcW w:w="8280" w:type="dxa"/>
            <w:shd w:val="clear" w:color="auto" w:fill="auto"/>
            <w:vAlign w:val="center"/>
          </w:tcPr>
          <w:p w14:paraId="3E1533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按时获取工资报酬，享受国家规定的福利待遇以及寒暑假期的带薪休假；</w:t>
            </w:r>
          </w:p>
        </w:tc>
      </w:tr>
      <w:tr w14:paraId="4FB84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7FD6E4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（五）</w:t>
            </w:r>
          </w:p>
        </w:tc>
        <w:tc>
          <w:tcPr>
            <w:tcW w:w="8280" w:type="dxa"/>
            <w:shd w:val="clear" w:color="auto" w:fill="auto"/>
            <w:vAlign w:val="center"/>
          </w:tcPr>
          <w:p w14:paraId="23E79D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对学校教育教学、管理工作和教育行政部门的工作提出意见和建议，通过教职工代表大会或者其他形式，参与学校的民主管理；</w:t>
            </w:r>
          </w:p>
        </w:tc>
      </w:tr>
      <w:tr w14:paraId="58B1D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6013A7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（六）</w:t>
            </w:r>
          </w:p>
        </w:tc>
        <w:tc>
          <w:tcPr>
            <w:tcW w:w="8280" w:type="dxa"/>
            <w:shd w:val="clear" w:color="auto" w:fill="auto"/>
            <w:vAlign w:val="center"/>
          </w:tcPr>
          <w:p w14:paraId="645C65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参加进修或者其他方式的培训。</w:t>
            </w:r>
          </w:p>
        </w:tc>
      </w:tr>
      <w:tr w14:paraId="64184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4C0D4A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第八条</w:t>
            </w:r>
          </w:p>
        </w:tc>
        <w:tc>
          <w:tcPr>
            <w:tcW w:w="8280" w:type="dxa"/>
            <w:shd w:val="clear" w:color="auto" w:fill="auto"/>
            <w:vAlign w:val="center"/>
          </w:tcPr>
          <w:p w14:paraId="1BE48A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教师应当履行下列义务：</w:t>
            </w:r>
          </w:p>
        </w:tc>
      </w:tr>
      <w:tr w14:paraId="13ACC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4B322A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（一）</w:t>
            </w:r>
          </w:p>
        </w:tc>
        <w:tc>
          <w:tcPr>
            <w:tcW w:w="8280" w:type="dxa"/>
            <w:shd w:val="clear" w:color="auto" w:fill="auto"/>
            <w:vAlign w:val="center"/>
          </w:tcPr>
          <w:p w14:paraId="531E0E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遵守宪法、法律和职业道德，为人师表；</w:t>
            </w:r>
          </w:p>
        </w:tc>
      </w:tr>
      <w:tr w14:paraId="515C0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431584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（二）</w:t>
            </w:r>
          </w:p>
        </w:tc>
        <w:tc>
          <w:tcPr>
            <w:tcW w:w="8280" w:type="dxa"/>
            <w:shd w:val="clear" w:color="auto" w:fill="auto"/>
            <w:vAlign w:val="center"/>
          </w:tcPr>
          <w:p w14:paraId="024631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贯彻国家的教育方针，遵守规章制度，执行学校的教学计划，履行教师聘约，完成教育教学工作任务；</w:t>
            </w:r>
          </w:p>
        </w:tc>
      </w:tr>
      <w:tr w14:paraId="294A5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607FC8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（三）</w:t>
            </w:r>
          </w:p>
        </w:tc>
        <w:tc>
          <w:tcPr>
            <w:tcW w:w="8280" w:type="dxa"/>
            <w:shd w:val="clear" w:color="auto" w:fill="auto"/>
            <w:vAlign w:val="center"/>
          </w:tcPr>
          <w:p w14:paraId="23D9F6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对学生进行宪法所确定的基本原则的教育和爱国主义、民族团结的教育，法制教育以及思想品德、文化、科学技术教育，组织、带领学生开展有益的社会活动；</w:t>
            </w:r>
          </w:p>
        </w:tc>
      </w:tr>
      <w:tr w14:paraId="60425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049D29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（四）</w:t>
            </w:r>
          </w:p>
        </w:tc>
        <w:tc>
          <w:tcPr>
            <w:tcW w:w="8280" w:type="dxa"/>
            <w:shd w:val="clear" w:color="auto" w:fill="auto"/>
            <w:vAlign w:val="center"/>
          </w:tcPr>
          <w:p w14:paraId="1840C8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关心、爱护全体学生，尊重学生人格，促进学生在品德、智力、体质等方面全面发展；</w:t>
            </w:r>
          </w:p>
        </w:tc>
      </w:tr>
      <w:tr w14:paraId="79089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54CB37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（五）</w:t>
            </w:r>
          </w:p>
        </w:tc>
        <w:tc>
          <w:tcPr>
            <w:tcW w:w="8280" w:type="dxa"/>
            <w:shd w:val="clear" w:color="auto" w:fill="auto"/>
            <w:vAlign w:val="center"/>
          </w:tcPr>
          <w:p w14:paraId="70B6A7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制止有害于学生的行为或者其他侵犯学生合法权益的行为，批评和抵制有害于学生健康成长的现象；</w:t>
            </w:r>
          </w:p>
        </w:tc>
      </w:tr>
      <w:tr w14:paraId="62E96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2358AF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（六）</w:t>
            </w:r>
          </w:p>
        </w:tc>
        <w:tc>
          <w:tcPr>
            <w:tcW w:w="8280" w:type="dxa"/>
            <w:shd w:val="clear" w:color="auto" w:fill="auto"/>
            <w:vAlign w:val="center"/>
          </w:tcPr>
          <w:p w14:paraId="06FB7B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不断提高思想政治觉悟和教育教学业务水平。</w:t>
            </w:r>
          </w:p>
        </w:tc>
      </w:tr>
      <w:tr w14:paraId="45CB7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7FFC53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第九条</w:t>
            </w:r>
          </w:p>
        </w:tc>
        <w:tc>
          <w:tcPr>
            <w:tcW w:w="8280" w:type="dxa"/>
            <w:shd w:val="clear" w:color="auto" w:fill="auto"/>
            <w:vAlign w:val="center"/>
          </w:tcPr>
          <w:p w14:paraId="0DC861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为保障教师完成教育教学任务，各级人民政府、教育行政部门、有关部门、学校和其他教育机构应当履行下列职责：</w:t>
            </w:r>
          </w:p>
        </w:tc>
      </w:tr>
      <w:tr w14:paraId="07052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34BF37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（一）</w:t>
            </w:r>
          </w:p>
        </w:tc>
        <w:tc>
          <w:tcPr>
            <w:tcW w:w="8280" w:type="dxa"/>
            <w:shd w:val="clear" w:color="auto" w:fill="auto"/>
            <w:vAlign w:val="center"/>
          </w:tcPr>
          <w:p w14:paraId="49400B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提供符合国家安全标准的教育教学设施和设备；</w:t>
            </w:r>
          </w:p>
        </w:tc>
      </w:tr>
      <w:tr w14:paraId="768EE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33229C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（二）</w:t>
            </w:r>
          </w:p>
        </w:tc>
        <w:tc>
          <w:tcPr>
            <w:tcW w:w="8280" w:type="dxa"/>
            <w:shd w:val="clear" w:color="auto" w:fill="auto"/>
            <w:vAlign w:val="center"/>
          </w:tcPr>
          <w:p w14:paraId="19649D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提供必需的图书、资料及其他教育教学用品；</w:t>
            </w:r>
          </w:p>
        </w:tc>
      </w:tr>
      <w:tr w14:paraId="3C443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1A5C29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（三）</w:t>
            </w:r>
          </w:p>
        </w:tc>
        <w:tc>
          <w:tcPr>
            <w:tcW w:w="8280" w:type="dxa"/>
            <w:shd w:val="clear" w:color="auto" w:fill="auto"/>
            <w:vAlign w:val="center"/>
          </w:tcPr>
          <w:p w14:paraId="57AF62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对教师在教育教学、科学研究中的创造性工作给以鼓励和帮助；</w:t>
            </w:r>
          </w:p>
        </w:tc>
      </w:tr>
      <w:tr w14:paraId="7ED6E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2B898C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（四）</w:t>
            </w:r>
          </w:p>
        </w:tc>
        <w:tc>
          <w:tcPr>
            <w:tcW w:w="8280" w:type="dxa"/>
            <w:shd w:val="clear" w:color="auto" w:fill="auto"/>
            <w:vAlign w:val="center"/>
          </w:tcPr>
          <w:p w14:paraId="12B138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支持教师制止有害于学生的行为或者其他侵犯学生合法权益的行为。</w:t>
            </w:r>
          </w:p>
        </w:tc>
      </w:tr>
      <w:tr w14:paraId="4ED97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9630" w:type="dxa"/>
            <w:gridSpan w:val="2"/>
            <w:shd w:val="clear" w:color="auto" w:fill="auto"/>
            <w:vAlign w:val="center"/>
          </w:tcPr>
          <w:p w14:paraId="5D939A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b/>
                <w:bCs/>
                <w:sz w:val="21"/>
                <w:szCs w:val="21"/>
              </w:rPr>
              <w:t>第三章 资格和任用</w:t>
            </w:r>
          </w:p>
        </w:tc>
      </w:tr>
      <w:tr w14:paraId="0D1E5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22FD59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第十条</w:t>
            </w:r>
          </w:p>
        </w:tc>
        <w:tc>
          <w:tcPr>
            <w:tcW w:w="8280" w:type="dxa"/>
            <w:shd w:val="clear" w:color="auto" w:fill="auto"/>
            <w:vAlign w:val="center"/>
          </w:tcPr>
          <w:p w14:paraId="282965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国家实行教师资格制度。</w:t>
            </w:r>
          </w:p>
          <w:p w14:paraId="6A3233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中国公民凡遵守宪法和法律，热爱教育事业，具有良好的思想品德，具备本法规定的学历或者经国家教师资格考试合格，有教育教学能力，经认定合格的，可以取得教师资格。</w:t>
            </w:r>
          </w:p>
        </w:tc>
      </w:tr>
      <w:tr w14:paraId="41AB3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0EFCC5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第十一条</w:t>
            </w:r>
          </w:p>
        </w:tc>
        <w:tc>
          <w:tcPr>
            <w:tcW w:w="8280" w:type="dxa"/>
            <w:shd w:val="clear" w:color="auto" w:fill="auto"/>
            <w:vAlign w:val="center"/>
          </w:tcPr>
          <w:p w14:paraId="44835B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取得教师资格应当具备的相应学历是：</w:t>
            </w:r>
          </w:p>
        </w:tc>
      </w:tr>
      <w:tr w14:paraId="28F16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02A2A0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（一）</w:t>
            </w:r>
          </w:p>
        </w:tc>
        <w:tc>
          <w:tcPr>
            <w:tcW w:w="8280" w:type="dxa"/>
            <w:shd w:val="clear" w:color="auto" w:fill="auto"/>
            <w:vAlign w:val="center"/>
          </w:tcPr>
          <w:p w14:paraId="4987B3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取得幼儿园教师资格，应当具备幼儿师范学校毕业及其以上学历；</w:t>
            </w:r>
          </w:p>
        </w:tc>
      </w:tr>
      <w:tr w14:paraId="69D92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74F0D8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（二）</w:t>
            </w:r>
          </w:p>
        </w:tc>
        <w:tc>
          <w:tcPr>
            <w:tcW w:w="8280" w:type="dxa"/>
            <w:shd w:val="clear" w:color="auto" w:fill="auto"/>
            <w:vAlign w:val="center"/>
          </w:tcPr>
          <w:p w14:paraId="0AE859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取得小学教师资格，应当具备中等师范学校毕业及其以上学历；</w:t>
            </w:r>
          </w:p>
        </w:tc>
      </w:tr>
      <w:tr w14:paraId="59725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5232D9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（三）</w:t>
            </w:r>
          </w:p>
        </w:tc>
        <w:tc>
          <w:tcPr>
            <w:tcW w:w="8280" w:type="dxa"/>
            <w:shd w:val="clear" w:color="auto" w:fill="auto"/>
            <w:vAlign w:val="center"/>
          </w:tcPr>
          <w:p w14:paraId="4F947C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取得初级中学教师、初级职业学校文化、专业课教师资格，应当具备高等师范专科学校或者其他大学专科毕业及其以上学历；</w:t>
            </w:r>
          </w:p>
        </w:tc>
      </w:tr>
      <w:tr w14:paraId="2D39F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1C2CF8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（四）</w:t>
            </w:r>
          </w:p>
        </w:tc>
        <w:tc>
          <w:tcPr>
            <w:tcW w:w="8280" w:type="dxa"/>
            <w:shd w:val="clear" w:color="auto" w:fill="auto"/>
            <w:vAlign w:val="center"/>
          </w:tcPr>
          <w:p w14:paraId="4A700F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取得高级中学教师资格和中等专业学校、技工学校、职业高中文化课、专业课教师资格，应当具备高等师范院校本科或者其他大学本科毕业及其以上学历；取得中等专业学校、技工学校和职业高中学生实习指导教师资格应当具备的学历，由国务院教育行政部门规定；</w:t>
            </w:r>
          </w:p>
        </w:tc>
      </w:tr>
      <w:tr w14:paraId="3A801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051192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（五）</w:t>
            </w:r>
          </w:p>
        </w:tc>
        <w:tc>
          <w:tcPr>
            <w:tcW w:w="8280" w:type="dxa"/>
            <w:shd w:val="clear" w:color="auto" w:fill="auto"/>
            <w:vAlign w:val="center"/>
          </w:tcPr>
          <w:p w14:paraId="1DEA2F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取得高等学校教师资格，应当具备研究生或者大学本科毕业学历；</w:t>
            </w:r>
          </w:p>
        </w:tc>
      </w:tr>
      <w:tr w14:paraId="128C3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4E22CE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（六）</w:t>
            </w:r>
          </w:p>
        </w:tc>
        <w:tc>
          <w:tcPr>
            <w:tcW w:w="8280" w:type="dxa"/>
            <w:shd w:val="clear" w:color="auto" w:fill="auto"/>
            <w:vAlign w:val="center"/>
          </w:tcPr>
          <w:p w14:paraId="130E75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取得成人教育教师资格，应当按照成人教育的层次、类别，分别具备高等、中等学校毕业及其以上学历。不具备本法规定的教师资格学历的公民，申请获取教师资格，必须通过国家教师资格考试。国家教师资格考试制度由国务院规定。</w:t>
            </w:r>
          </w:p>
        </w:tc>
      </w:tr>
      <w:tr w14:paraId="63252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1B3ADC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第十二条</w:t>
            </w:r>
          </w:p>
        </w:tc>
        <w:tc>
          <w:tcPr>
            <w:tcW w:w="8280" w:type="dxa"/>
            <w:shd w:val="clear" w:color="auto" w:fill="auto"/>
            <w:vAlign w:val="center"/>
          </w:tcPr>
          <w:p w14:paraId="4F96E2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本法实施前已经在学校或者其他教育机构中任教的教师，未具备本法规定学历的，由国务院教育行政部门规定教师资格过渡办法。</w:t>
            </w:r>
          </w:p>
        </w:tc>
      </w:tr>
      <w:tr w14:paraId="31AD9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3ED41C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第十三条</w:t>
            </w:r>
          </w:p>
        </w:tc>
        <w:tc>
          <w:tcPr>
            <w:tcW w:w="8280" w:type="dxa"/>
            <w:shd w:val="clear" w:color="auto" w:fill="auto"/>
            <w:vAlign w:val="center"/>
          </w:tcPr>
          <w:p w14:paraId="59E51D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中小学教师资格由县级以上地方人民政府教育行政部门认定。中等专业学校、技工学校的教师资格由县级以上地方人民政府教育行政部门组织有关主管部门认定。普通高等学校的教师资格由国务院或者省、自治区、直辖市教育行政部门或者由其委托的学校认定。具备本法规定的学历或者经国家教师资格考试合格的公民，要求有关部门认定其教师资格的，有关部门应当依照本法规定的条件予以认定。取得教师资格的人员首次任教时，应当有试用期。</w:t>
            </w:r>
          </w:p>
        </w:tc>
      </w:tr>
      <w:tr w14:paraId="0F9D3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05A8F2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第十四条</w:t>
            </w:r>
          </w:p>
        </w:tc>
        <w:tc>
          <w:tcPr>
            <w:tcW w:w="8280" w:type="dxa"/>
            <w:shd w:val="clear" w:color="auto" w:fill="auto"/>
            <w:vAlign w:val="center"/>
          </w:tcPr>
          <w:p w14:paraId="090967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受到剥夺政治权利或者故意犯罪受到有期徒刑以上刑事处罚的，不能取得教师资格；已经取得教师资格的，丧失教师资格。</w:t>
            </w:r>
          </w:p>
        </w:tc>
      </w:tr>
      <w:tr w14:paraId="5A213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5F7207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第十五条</w:t>
            </w:r>
          </w:p>
        </w:tc>
        <w:tc>
          <w:tcPr>
            <w:tcW w:w="8280" w:type="dxa"/>
            <w:shd w:val="clear" w:color="auto" w:fill="auto"/>
            <w:vAlign w:val="center"/>
          </w:tcPr>
          <w:p w14:paraId="414E95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各级师范学校毕业生，应当按照国家有关规定从事教育教学工作。国家鼓励非师范高等学校毕业生到中小学或者职业学校任教。</w:t>
            </w:r>
          </w:p>
        </w:tc>
      </w:tr>
      <w:tr w14:paraId="33DE7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446393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第十六条</w:t>
            </w:r>
          </w:p>
        </w:tc>
        <w:tc>
          <w:tcPr>
            <w:tcW w:w="8280" w:type="dxa"/>
            <w:shd w:val="clear" w:color="auto" w:fill="auto"/>
            <w:vAlign w:val="center"/>
          </w:tcPr>
          <w:p w14:paraId="0E9D6B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国家实行教师职务制度，具体办法由国务院规定。</w:t>
            </w:r>
          </w:p>
        </w:tc>
      </w:tr>
      <w:tr w14:paraId="56A18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77A09F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第十七条</w:t>
            </w:r>
          </w:p>
        </w:tc>
        <w:tc>
          <w:tcPr>
            <w:tcW w:w="8280" w:type="dxa"/>
            <w:shd w:val="clear" w:color="auto" w:fill="auto"/>
            <w:vAlign w:val="center"/>
          </w:tcPr>
          <w:p w14:paraId="1362EF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学校和其他教育机构应当逐步实行教师聘任制。教师的聘任应当遵循双方地位平等的原则，由学校和教师签订聘任合同，明确规定双方的权利、义务和责任。实施教师聘任制的步骤、办法由国务院教育行政部门规定。</w:t>
            </w:r>
          </w:p>
        </w:tc>
      </w:tr>
      <w:tr w14:paraId="057C3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9630" w:type="dxa"/>
            <w:gridSpan w:val="2"/>
            <w:shd w:val="clear" w:color="auto" w:fill="auto"/>
            <w:vAlign w:val="center"/>
          </w:tcPr>
          <w:p w14:paraId="07655E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b/>
                <w:bCs/>
                <w:sz w:val="21"/>
                <w:szCs w:val="21"/>
              </w:rPr>
              <w:t>第四章 培养和培训</w:t>
            </w:r>
          </w:p>
        </w:tc>
      </w:tr>
      <w:tr w14:paraId="7DA76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47E976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第十八条</w:t>
            </w:r>
          </w:p>
        </w:tc>
        <w:tc>
          <w:tcPr>
            <w:tcW w:w="8280" w:type="dxa"/>
            <w:shd w:val="clear" w:color="auto" w:fill="auto"/>
            <w:vAlign w:val="center"/>
          </w:tcPr>
          <w:p w14:paraId="383E30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各级人民政府和有关部门应当办好师范教育，并采取措施，鼓励优秀青年进入各级师范学校学习。各级教师进修学校承担培训中小学教师的任务。非师范学校应当承担培养和培训中小学教师的任务。各级师范学校学生享受专业奖学金。</w:t>
            </w:r>
          </w:p>
        </w:tc>
      </w:tr>
      <w:tr w14:paraId="38327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41884E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第十九条</w:t>
            </w:r>
          </w:p>
        </w:tc>
        <w:tc>
          <w:tcPr>
            <w:tcW w:w="8280" w:type="dxa"/>
            <w:shd w:val="clear" w:color="auto" w:fill="auto"/>
            <w:vAlign w:val="center"/>
          </w:tcPr>
          <w:p w14:paraId="356418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各级人民政府教育行政部门、学校主管部门和学校应当制定教师培训规划，对教师进行多种形式的思想政治、业务培训。</w:t>
            </w:r>
          </w:p>
        </w:tc>
      </w:tr>
      <w:tr w14:paraId="034FD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145901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第二十条</w:t>
            </w:r>
          </w:p>
        </w:tc>
        <w:tc>
          <w:tcPr>
            <w:tcW w:w="8280" w:type="dxa"/>
            <w:shd w:val="clear" w:color="auto" w:fill="auto"/>
            <w:vAlign w:val="center"/>
          </w:tcPr>
          <w:p w14:paraId="15413C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国家机关、企业事业单位和其他社会组织应当为教师的社会调查和社会实践提供方便，给予协助。</w:t>
            </w:r>
          </w:p>
        </w:tc>
      </w:tr>
      <w:tr w14:paraId="3BD35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0C505E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第二十一条</w:t>
            </w:r>
          </w:p>
        </w:tc>
        <w:tc>
          <w:tcPr>
            <w:tcW w:w="8280" w:type="dxa"/>
            <w:shd w:val="clear" w:color="auto" w:fill="auto"/>
            <w:vAlign w:val="center"/>
          </w:tcPr>
          <w:p w14:paraId="3B1CC8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各级人民政府应当采取措施，为少数民族地区和边远贫困地区培养、培训教师。</w:t>
            </w:r>
          </w:p>
        </w:tc>
      </w:tr>
      <w:tr w14:paraId="09C02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9630" w:type="dxa"/>
            <w:gridSpan w:val="2"/>
            <w:shd w:val="clear" w:color="auto" w:fill="auto"/>
            <w:vAlign w:val="center"/>
          </w:tcPr>
          <w:p w14:paraId="446003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b/>
                <w:bCs/>
                <w:sz w:val="21"/>
                <w:szCs w:val="21"/>
              </w:rPr>
              <w:t>第五章 考 核</w:t>
            </w:r>
          </w:p>
        </w:tc>
      </w:tr>
      <w:tr w14:paraId="2A962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037B5F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第二十二条</w:t>
            </w:r>
          </w:p>
        </w:tc>
        <w:tc>
          <w:tcPr>
            <w:tcW w:w="8280" w:type="dxa"/>
            <w:shd w:val="clear" w:color="auto" w:fill="auto"/>
            <w:vAlign w:val="center"/>
          </w:tcPr>
          <w:p w14:paraId="13D086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学校或者其他教育机构应当对教师的政治思想、业务水平、工作态度和工作成绩进行考核。教育行政部门对教师的考核工作进行指导、监督。</w:t>
            </w:r>
          </w:p>
        </w:tc>
      </w:tr>
      <w:tr w14:paraId="419A2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6E32DA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第二十三条</w:t>
            </w:r>
          </w:p>
        </w:tc>
        <w:tc>
          <w:tcPr>
            <w:tcW w:w="8280" w:type="dxa"/>
            <w:shd w:val="clear" w:color="auto" w:fill="auto"/>
            <w:vAlign w:val="center"/>
          </w:tcPr>
          <w:p w14:paraId="5B2CF4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考核应当客观、公正、准确，充分听取教师本人、其他教师以及学生的意见。</w:t>
            </w:r>
          </w:p>
        </w:tc>
      </w:tr>
      <w:tr w14:paraId="0FBE2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1D9C9C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第二十四条</w:t>
            </w:r>
          </w:p>
        </w:tc>
        <w:tc>
          <w:tcPr>
            <w:tcW w:w="8280" w:type="dxa"/>
            <w:shd w:val="clear" w:color="auto" w:fill="auto"/>
            <w:vAlign w:val="center"/>
          </w:tcPr>
          <w:p w14:paraId="3FD3D6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教师考核结果是受聘任教、晋升工资、实施奖惩的依据。</w:t>
            </w:r>
          </w:p>
        </w:tc>
      </w:tr>
      <w:tr w14:paraId="1DEAD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9630" w:type="dxa"/>
            <w:gridSpan w:val="2"/>
            <w:shd w:val="clear" w:color="auto" w:fill="auto"/>
            <w:vAlign w:val="center"/>
          </w:tcPr>
          <w:p w14:paraId="593B74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b/>
                <w:bCs/>
                <w:sz w:val="21"/>
                <w:szCs w:val="21"/>
              </w:rPr>
              <w:t>第六章 待 遇</w:t>
            </w:r>
          </w:p>
        </w:tc>
      </w:tr>
      <w:tr w14:paraId="75AA9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73ACE6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第二十五条</w:t>
            </w:r>
          </w:p>
        </w:tc>
        <w:tc>
          <w:tcPr>
            <w:tcW w:w="8280" w:type="dxa"/>
            <w:shd w:val="clear" w:color="auto" w:fill="auto"/>
            <w:vAlign w:val="center"/>
          </w:tcPr>
          <w:p w14:paraId="0C44EB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教师的平均工资水平应当不低于或者高于国家公务员的平均工资水平，并逐步提高。建立正常晋级增薪制度，具体办法由国务院规定。</w:t>
            </w:r>
          </w:p>
        </w:tc>
      </w:tr>
      <w:tr w14:paraId="4C615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29F438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第二十六条</w:t>
            </w:r>
          </w:p>
        </w:tc>
        <w:tc>
          <w:tcPr>
            <w:tcW w:w="8280" w:type="dxa"/>
            <w:shd w:val="clear" w:color="auto" w:fill="auto"/>
            <w:vAlign w:val="center"/>
          </w:tcPr>
          <w:p w14:paraId="742D80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中小学教师和职业学校教师享受教龄津贴和其他津贴，具体办法由国务院教育行政部门会同有关部门制定。</w:t>
            </w:r>
          </w:p>
        </w:tc>
      </w:tr>
      <w:tr w14:paraId="6006B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252161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第二十七条</w:t>
            </w:r>
          </w:p>
        </w:tc>
        <w:tc>
          <w:tcPr>
            <w:tcW w:w="8280" w:type="dxa"/>
            <w:shd w:val="clear" w:color="auto" w:fill="auto"/>
            <w:vAlign w:val="center"/>
          </w:tcPr>
          <w:p w14:paraId="48250E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地方各级人民政府对教师以及具有中专以上学历的毕业生到少数民族地区和边远贫困地区从事教育教学工作的，应当予以补贴。</w:t>
            </w:r>
          </w:p>
        </w:tc>
      </w:tr>
      <w:tr w14:paraId="76B6D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457A35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第二十八条</w:t>
            </w:r>
          </w:p>
        </w:tc>
        <w:tc>
          <w:tcPr>
            <w:tcW w:w="8280" w:type="dxa"/>
            <w:shd w:val="clear" w:color="auto" w:fill="auto"/>
            <w:vAlign w:val="center"/>
          </w:tcPr>
          <w:p w14:paraId="4F593A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地方各级人民政府和国务院有关部门，对城市教师住房的建设、租赁、出售实行优先、优惠。县、乡两级人民政府应当为农村中小学教师解决住房提供方便。</w:t>
            </w:r>
          </w:p>
        </w:tc>
      </w:tr>
      <w:tr w14:paraId="0BF84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27EF7D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第二十九条</w:t>
            </w:r>
          </w:p>
        </w:tc>
        <w:tc>
          <w:tcPr>
            <w:tcW w:w="8280" w:type="dxa"/>
            <w:shd w:val="clear" w:color="auto" w:fill="auto"/>
            <w:vAlign w:val="center"/>
          </w:tcPr>
          <w:p w14:paraId="291BC9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教师的医疗同当地国家公务员享受同等的待遇；定期对教师进行身体健康检查，并因地制宜安排教师进行休养。医疗机构应当对当地教师的医疗提供方针。</w:t>
            </w:r>
          </w:p>
        </w:tc>
      </w:tr>
      <w:tr w14:paraId="13289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2F85A1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第三十条</w:t>
            </w:r>
          </w:p>
        </w:tc>
        <w:tc>
          <w:tcPr>
            <w:tcW w:w="8280" w:type="dxa"/>
            <w:shd w:val="clear" w:color="auto" w:fill="auto"/>
            <w:vAlign w:val="center"/>
          </w:tcPr>
          <w:p w14:paraId="5FFD0E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师退休或者退职后，享受国家规定的退休或者退职待遇。县级以上地方人民政府可以适当提高长期从事教育教学工作的中小学退休教师教的退休金比例。</w:t>
            </w:r>
          </w:p>
        </w:tc>
      </w:tr>
      <w:tr w14:paraId="2E216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0F7A0D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第三十一条</w:t>
            </w:r>
          </w:p>
        </w:tc>
        <w:tc>
          <w:tcPr>
            <w:tcW w:w="8280" w:type="dxa"/>
            <w:shd w:val="clear" w:color="auto" w:fill="auto"/>
            <w:vAlign w:val="center"/>
          </w:tcPr>
          <w:p w14:paraId="67F4BC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各级人民政府应当采取措施，改善国家补助、集体支付工资的中小学教师的待遇，逐步做到在工资收入上与国家支付工资的教师同工同酬，具体办法由地方各级人民政府根据本地区的实际情况规定。</w:t>
            </w:r>
          </w:p>
        </w:tc>
      </w:tr>
      <w:tr w14:paraId="01516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61C780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第三十二条</w:t>
            </w:r>
          </w:p>
        </w:tc>
        <w:tc>
          <w:tcPr>
            <w:tcW w:w="8280" w:type="dxa"/>
            <w:shd w:val="clear" w:color="auto" w:fill="auto"/>
            <w:vAlign w:val="center"/>
          </w:tcPr>
          <w:p w14:paraId="44299A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社会力量所办学校的教师的待遇，由举办者自行确定并予以保障。</w:t>
            </w:r>
          </w:p>
        </w:tc>
      </w:tr>
      <w:tr w14:paraId="31569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9630" w:type="dxa"/>
            <w:gridSpan w:val="2"/>
            <w:shd w:val="clear" w:color="auto" w:fill="auto"/>
            <w:vAlign w:val="center"/>
          </w:tcPr>
          <w:p w14:paraId="66AF5F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b/>
                <w:bCs/>
                <w:sz w:val="21"/>
                <w:szCs w:val="21"/>
              </w:rPr>
              <w:t>第七章 奖 励</w:t>
            </w:r>
          </w:p>
        </w:tc>
      </w:tr>
      <w:tr w14:paraId="58B8D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5ECCF2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第三十三条</w:t>
            </w:r>
          </w:p>
        </w:tc>
        <w:tc>
          <w:tcPr>
            <w:tcW w:w="8280" w:type="dxa"/>
            <w:shd w:val="clear" w:color="auto" w:fill="auto"/>
            <w:vAlign w:val="center"/>
          </w:tcPr>
          <w:p w14:paraId="5BB5FF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教师在教育教学、培养人才、科学研究、教学改革、学校建设、社会服务、勤工俭学等方面成绩优异的，由所在学校予以表彰、奖励。国务院和地方各级人民政府及其有关部门对有突出贡献的教师，应当予以表彰、奖励。对有重大贡献的教师，依照国家有关规定授予荣誉称号。</w:t>
            </w:r>
          </w:p>
        </w:tc>
      </w:tr>
      <w:tr w14:paraId="52017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3A715C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第三十四条</w:t>
            </w:r>
          </w:p>
        </w:tc>
        <w:tc>
          <w:tcPr>
            <w:tcW w:w="8280" w:type="dxa"/>
            <w:shd w:val="clear" w:color="auto" w:fill="auto"/>
            <w:vAlign w:val="center"/>
          </w:tcPr>
          <w:p w14:paraId="235BAF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国家支持和鼓励社会组织或者个人向依法成立的奖励教师的基金组织捐助资金，对教师进行奖励。</w:t>
            </w:r>
          </w:p>
        </w:tc>
      </w:tr>
      <w:tr w14:paraId="4A6BB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9630" w:type="dxa"/>
            <w:gridSpan w:val="2"/>
            <w:shd w:val="clear" w:color="auto" w:fill="auto"/>
            <w:vAlign w:val="center"/>
          </w:tcPr>
          <w:p w14:paraId="20E317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b/>
                <w:bCs/>
                <w:sz w:val="21"/>
                <w:szCs w:val="21"/>
              </w:rPr>
              <w:t>第八章 法律责任</w:t>
            </w:r>
          </w:p>
        </w:tc>
      </w:tr>
      <w:tr w14:paraId="0B8AF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041EA6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第三十五条</w:t>
            </w:r>
          </w:p>
        </w:tc>
        <w:tc>
          <w:tcPr>
            <w:tcW w:w="8280" w:type="dxa"/>
            <w:shd w:val="clear" w:color="auto" w:fill="auto"/>
            <w:vAlign w:val="center"/>
          </w:tcPr>
          <w:p w14:paraId="72709C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侮辱、殴打教师的，根据不同情况，分别给予行政处分或者行政处罚；造成损害的，责令赔偿损失；情节严重，构成犯罪的，依法追究刑事责任。</w:t>
            </w:r>
          </w:p>
        </w:tc>
      </w:tr>
      <w:tr w14:paraId="3AD73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6A069B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第三十六条</w:t>
            </w:r>
          </w:p>
        </w:tc>
        <w:tc>
          <w:tcPr>
            <w:tcW w:w="8280" w:type="dxa"/>
            <w:shd w:val="clear" w:color="auto" w:fill="auto"/>
            <w:vAlign w:val="center"/>
          </w:tcPr>
          <w:p w14:paraId="0AE0EC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对依法提出申诉、控告、检举的教师进行打击报复的，由其所在单位或者上级机关责令改正；情节严重的，可以根据具体情况给予行政处分。国家工作人员对教师打击报复构成犯罪的，依照刑法第一百四十六条的规定追究刑事责任。</w:t>
            </w:r>
          </w:p>
        </w:tc>
      </w:tr>
      <w:tr w14:paraId="242C4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1E509A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第三十七条</w:t>
            </w:r>
          </w:p>
        </w:tc>
        <w:tc>
          <w:tcPr>
            <w:tcW w:w="8280" w:type="dxa"/>
            <w:shd w:val="clear" w:color="auto" w:fill="auto"/>
            <w:vAlign w:val="center"/>
          </w:tcPr>
          <w:p w14:paraId="4D8568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教师有下列情形之一的，由所在学校、其他教育机构或者教育行政部门给予行政处分或者解聘。</w:t>
            </w:r>
          </w:p>
        </w:tc>
      </w:tr>
      <w:tr w14:paraId="620C6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252D42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（一）</w:t>
            </w:r>
          </w:p>
        </w:tc>
        <w:tc>
          <w:tcPr>
            <w:tcW w:w="8280" w:type="dxa"/>
            <w:shd w:val="clear" w:color="auto" w:fill="auto"/>
            <w:vAlign w:val="center"/>
          </w:tcPr>
          <w:p w14:paraId="0C05A7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故意不完成教育教学任务给教育教学工作造成损失的；</w:t>
            </w:r>
          </w:p>
        </w:tc>
      </w:tr>
      <w:tr w14:paraId="20ADF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2C2888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（二）</w:t>
            </w:r>
          </w:p>
        </w:tc>
        <w:tc>
          <w:tcPr>
            <w:tcW w:w="8280" w:type="dxa"/>
            <w:shd w:val="clear" w:color="auto" w:fill="auto"/>
            <w:vAlign w:val="center"/>
          </w:tcPr>
          <w:p w14:paraId="195919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体罚学生，经教育不改的；</w:t>
            </w:r>
          </w:p>
        </w:tc>
      </w:tr>
      <w:tr w14:paraId="34F84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1BD5EB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（三）</w:t>
            </w:r>
          </w:p>
        </w:tc>
        <w:tc>
          <w:tcPr>
            <w:tcW w:w="8280" w:type="dxa"/>
            <w:shd w:val="clear" w:color="auto" w:fill="auto"/>
            <w:vAlign w:val="center"/>
          </w:tcPr>
          <w:p w14:paraId="2F4056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品行不良、侮辱学生，影响恶劣的。</w:t>
            </w:r>
          </w:p>
        </w:tc>
      </w:tr>
      <w:tr w14:paraId="7CD0E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9630" w:type="dxa"/>
            <w:gridSpan w:val="2"/>
            <w:shd w:val="clear" w:color="auto" w:fill="auto"/>
            <w:vAlign w:val="center"/>
          </w:tcPr>
          <w:p w14:paraId="45D50A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教师有前款第（二）项、第（三）项所列情形之一，情节严重，构成犯罪的，依法追究刑事责任。</w:t>
            </w:r>
          </w:p>
        </w:tc>
      </w:tr>
      <w:tr w14:paraId="0629D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52DB6E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第三十八条</w:t>
            </w:r>
          </w:p>
        </w:tc>
        <w:tc>
          <w:tcPr>
            <w:tcW w:w="8280" w:type="dxa"/>
            <w:shd w:val="clear" w:color="auto" w:fill="auto"/>
            <w:vAlign w:val="center"/>
          </w:tcPr>
          <w:p w14:paraId="601C8A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地方人民政府对违反本法规定，拖欠教师工资或者侵犯教师其他合法权益的，应当责令其限期改正。违反国家财政制度、财务制度，挪用国家财政用于教育的经费，严重妨碍教育教学工作，拖欠教师工资，损害教师合法权益的，由上级机关责令限期归还被挪用的经费，并对直接责任人员给予行政处分；情节严重，构成犯罪的，依法追究刑事责任。</w:t>
            </w:r>
          </w:p>
        </w:tc>
      </w:tr>
      <w:tr w14:paraId="33012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1230" w:type="dxa"/>
            <w:shd w:val="clear" w:color="auto" w:fill="auto"/>
            <w:vAlign w:val="center"/>
          </w:tcPr>
          <w:p w14:paraId="2934AD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第三十九条</w:t>
            </w:r>
          </w:p>
        </w:tc>
        <w:tc>
          <w:tcPr>
            <w:tcW w:w="8280" w:type="dxa"/>
            <w:shd w:val="clear" w:color="auto" w:fill="auto"/>
            <w:vAlign w:val="center"/>
          </w:tcPr>
          <w:p w14:paraId="3C7EF2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教师对学校或者其他教育机构侵犯其合法权益的，或者对学校或者其他教育机构作出的处理不服的，可以向教育行政部门提出申诉，教育行政部门应当在接到申诉的三十日内，作出处理。教师认为当地人民政府有关行政部门侵犯其根据本法规定享有的权利的，可以向同级人民政府或者上一级人民政府有关部门提出申诉，同级人民政府或者上一级人民政府有关部门应当作出处理。</w:t>
            </w:r>
          </w:p>
        </w:tc>
      </w:tr>
      <w:tr w14:paraId="6B32A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9630" w:type="dxa"/>
            <w:gridSpan w:val="2"/>
            <w:shd w:val="clear" w:color="auto" w:fill="auto"/>
            <w:vAlign w:val="center"/>
          </w:tcPr>
          <w:p w14:paraId="5438F2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b/>
                <w:bCs/>
                <w:sz w:val="21"/>
                <w:szCs w:val="21"/>
              </w:rPr>
              <w:t>第九章 附 则</w:t>
            </w:r>
          </w:p>
        </w:tc>
      </w:tr>
      <w:tr w14:paraId="52E88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39EDF2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第四十条</w:t>
            </w:r>
          </w:p>
        </w:tc>
        <w:tc>
          <w:tcPr>
            <w:tcW w:w="8280" w:type="dxa"/>
            <w:shd w:val="clear" w:color="auto" w:fill="auto"/>
            <w:vAlign w:val="center"/>
          </w:tcPr>
          <w:p w14:paraId="74DC4E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本法下列用语的含义是：</w:t>
            </w:r>
          </w:p>
        </w:tc>
      </w:tr>
      <w:tr w14:paraId="48DB8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232757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（一）</w:t>
            </w:r>
          </w:p>
        </w:tc>
        <w:tc>
          <w:tcPr>
            <w:tcW w:w="8280" w:type="dxa"/>
            <w:shd w:val="clear" w:color="auto" w:fill="auto"/>
            <w:vAlign w:val="center"/>
          </w:tcPr>
          <w:p w14:paraId="58C29E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各级各类学校，是指实施学前教育、普通初等教育、普通中等教育、职业教育、普通高等教育以及特殊教育、成人教育的学校。</w:t>
            </w:r>
          </w:p>
        </w:tc>
      </w:tr>
      <w:tr w14:paraId="5FCF3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3CEAAE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（二）</w:t>
            </w:r>
          </w:p>
        </w:tc>
        <w:tc>
          <w:tcPr>
            <w:tcW w:w="8280" w:type="dxa"/>
            <w:shd w:val="clear" w:color="auto" w:fill="auto"/>
            <w:vAlign w:val="center"/>
          </w:tcPr>
          <w:p w14:paraId="0C615C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其他教育机构，是指少年宫以及地方教研室、电化教育机构等。</w:t>
            </w:r>
          </w:p>
        </w:tc>
      </w:tr>
      <w:tr w14:paraId="3FA28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578740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（三）</w:t>
            </w:r>
          </w:p>
        </w:tc>
        <w:tc>
          <w:tcPr>
            <w:tcW w:w="8280" w:type="dxa"/>
            <w:shd w:val="clear" w:color="auto" w:fill="auto"/>
            <w:vAlign w:val="center"/>
          </w:tcPr>
          <w:p w14:paraId="412C07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中小学教师，是指幼儿园、特殊教育机构、普通中小学、成人初等中等教育机构、职业中学以及其他教育机构的教师。</w:t>
            </w:r>
          </w:p>
        </w:tc>
      </w:tr>
      <w:tr w14:paraId="70356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2866CE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第四十一条</w:t>
            </w:r>
          </w:p>
        </w:tc>
        <w:tc>
          <w:tcPr>
            <w:tcW w:w="8280" w:type="dxa"/>
            <w:shd w:val="clear" w:color="auto" w:fill="auto"/>
            <w:vAlign w:val="center"/>
          </w:tcPr>
          <w:p w14:paraId="4624BD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学校和其他教育机构中的教育教学辅助人员，其他类型的学校的教师和教育教学辅助人员，可以根据实际情况参照 本法的有关规定执行。军队所属院 校的教师和教育教学辅助人员，由中央军事委员会依照本法制定有关规定。</w:t>
            </w:r>
          </w:p>
        </w:tc>
      </w:tr>
      <w:tr w14:paraId="5CB47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703B11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第四十二条</w:t>
            </w:r>
          </w:p>
        </w:tc>
        <w:tc>
          <w:tcPr>
            <w:tcW w:w="8280" w:type="dxa"/>
            <w:shd w:val="clear" w:color="auto" w:fill="auto"/>
            <w:vAlign w:val="center"/>
          </w:tcPr>
          <w:p w14:paraId="0F004D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外籍教师的聘任办法由国务院教育行政部门规定。</w:t>
            </w:r>
          </w:p>
        </w:tc>
      </w:tr>
      <w:tr w14:paraId="04586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0" w:type="dxa"/>
        </w:trPr>
        <w:tc>
          <w:tcPr>
            <w:tcW w:w="1230" w:type="dxa"/>
            <w:shd w:val="clear" w:color="auto" w:fill="auto"/>
            <w:vAlign w:val="center"/>
          </w:tcPr>
          <w:p w14:paraId="39110C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第四十三条</w:t>
            </w:r>
          </w:p>
        </w:tc>
        <w:tc>
          <w:tcPr>
            <w:tcW w:w="8280" w:type="dxa"/>
            <w:shd w:val="clear" w:color="auto" w:fill="auto"/>
            <w:vAlign w:val="center"/>
          </w:tcPr>
          <w:p w14:paraId="7A4F1F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50"/>
              <w:rPr>
                <w:sz w:val="21"/>
                <w:szCs w:val="21"/>
              </w:rPr>
            </w:pPr>
            <w:r>
              <w:rPr>
                <w:sz w:val="21"/>
                <w:szCs w:val="21"/>
              </w:rPr>
              <w:t>本法自一九九四年一月一日起施行。</w:t>
            </w:r>
          </w:p>
        </w:tc>
      </w:tr>
    </w:tbl>
    <w:p w14:paraId="707EAA1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036CB4"/>
    <w:rsid w:val="470D5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Emphasis"/>
    <w:basedOn w:val="5"/>
    <w:qFormat/>
    <w:uiPriority w:val="0"/>
    <w:rPr>
      <w:i/>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4195</Words>
  <Characters>4195</Characters>
  <Lines>0</Lines>
  <Paragraphs>0</Paragraphs>
  <TotalTime>0</TotalTime>
  <ScaleCrop>false</ScaleCrop>
  <LinksUpToDate>false</LinksUpToDate>
  <CharactersWithSpaces>4212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2025-08-26T08:02:00Z</dcterms:created>
  <dc:creator>Administrator</dc:creator>
  <cp:lastModifiedBy>张十二</cp:lastModifiedBy>
  <dcterms:modified xsi:type="dcterms:W3CDTF">2025-09-26T08:54:16Z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eyJoZGlkIjoiODBhYWYxNzEyZWM2OWVkNDBhMzhiZDBhNWJlZmI3MjEiLCJ1c2VySWQiOiIxMDQ5OTUzMDgzIn0=</vt:lpwstr>
  </property>
  <property fmtid="{D5CDD505-2E9C-101B-9397-08002B2CF9AE}" pid="4" name="ICV">
    <vt:lpwstr>85F83A382F924F439EEF62529B53825B_12</vt:lpwstr>
  </property>
</Properties>
</file>